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82FF0" w14:textId="33744EB6" w:rsidR="00D654C9" w:rsidRPr="00D654C9" w:rsidRDefault="00D654C9" w:rsidP="00D654C9">
      <w:pPr>
        <w:pStyle w:val="Beschriftung"/>
        <w:keepNext/>
        <w:rPr>
          <w:rFonts w:asciiTheme="minorBidi" w:hAnsiTheme="minorBidi"/>
          <w:b/>
          <w:bCs/>
          <w:i w:val="0"/>
          <w:iCs w:val="0"/>
          <w:color w:val="auto"/>
          <w:sz w:val="22"/>
          <w:szCs w:val="22"/>
        </w:rPr>
      </w:pPr>
      <w:r w:rsidRPr="00D654C9">
        <w:rPr>
          <w:rFonts w:asciiTheme="minorBidi" w:hAnsiTheme="minorBidi"/>
          <w:b/>
          <w:bCs/>
          <w:i w:val="0"/>
          <w:iCs w:val="0"/>
          <w:color w:val="auto"/>
          <w:sz w:val="22"/>
          <w:szCs w:val="22"/>
        </w:rPr>
        <w:t>Aufgabenbeispiele („Sinnesorgan Auge“) mit zunehmender kognitiver Aktivierung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5"/>
        <w:gridCol w:w="3737"/>
        <w:gridCol w:w="3140"/>
      </w:tblGrid>
      <w:tr w:rsidR="00D654C9" w:rsidRPr="0054140A" w14:paraId="5300C011" w14:textId="77777777" w:rsidTr="001B346B">
        <w:tc>
          <w:tcPr>
            <w:tcW w:w="2185" w:type="dxa"/>
            <w:shd w:val="clear" w:color="auto" w:fill="E7E6E6" w:themeFill="background2"/>
          </w:tcPr>
          <w:p w14:paraId="39D3ED05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 xml:space="preserve">Kognitiver Prozess </w:t>
            </w:r>
          </w:p>
        </w:tc>
        <w:tc>
          <w:tcPr>
            <w:tcW w:w="3737" w:type="dxa"/>
            <w:shd w:val="clear" w:color="auto" w:fill="E7E6E6" w:themeFill="background2"/>
          </w:tcPr>
          <w:p w14:paraId="1238A2B3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 xml:space="preserve">Prinzip </w:t>
            </w:r>
          </w:p>
        </w:tc>
        <w:tc>
          <w:tcPr>
            <w:tcW w:w="3140" w:type="dxa"/>
            <w:shd w:val="clear" w:color="auto" w:fill="E7E6E6" w:themeFill="background2"/>
          </w:tcPr>
          <w:p w14:paraId="21C66440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Beispiel/ Aktion</w:t>
            </w:r>
          </w:p>
        </w:tc>
      </w:tr>
      <w:tr w:rsidR="00D654C9" w:rsidRPr="0054140A" w14:paraId="1FADCC92" w14:textId="77777777" w:rsidTr="001B346B">
        <w:tc>
          <w:tcPr>
            <w:tcW w:w="2185" w:type="dxa"/>
          </w:tcPr>
          <w:p w14:paraId="5ED53DB1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Reproduzieren</w:t>
            </w:r>
          </w:p>
        </w:tc>
        <w:tc>
          <w:tcPr>
            <w:tcW w:w="3737" w:type="dxa"/>
          </w:tcPr>
          <w:p w14:paraId="35AC9042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F8AC3" wp14:editId="3BEB5FFD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123208</wp:posOffset>
                      </wp:positionV>
                      <wp:extent cx="83439" cy="141079"/>
                      <wp:effectExtent l="0" t="0" r="12065" b="1143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439" cy="141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BE3ED7" id="Rechteck 2" o:spid="_x0000_s1026" style="position:absolute;margin-left:103.5pt;margin-top:9.7pt;width:6.55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" fillcolor="white [3212]" strokecolor="white [3212]" strokeweight="1pt"/>
                  </w:pict>
                </mc:Fallback>
              </mc:AlternateContent>
            </w:r>
            <w:r w:rsidRPr="0054140A">
              <w:rPr>
                <w:rFonts w:asciiTheme="minorBidi" w:hAnsiTheme="minorBidi"/>
                <w:noProof/>
                <w:lang w:eastAsia="de-DE"/>
              </w:rPr>
              <w:drawing>
                <wp:inline distT="0" distB="0" distL="0" distR="0" wp14:anchorId="4FCE3E35" wp14:editId="3635542A">
                  <wp:extent cx="1400338" cy="132261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r="45428"/>
                          <a:stretch/>
                        </pic:blipFill>
                        <pic:spPr bwMode="auto">
                          <a:xfrm>
                            <a:off x="0" y="0"/>
                            <a:ext cx="1412252" cy="1333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270F77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Hohe </w:t>
            </w:r>
            <w:r w:rsidRPr="0054140A">
              <w:rPr>
                <w:rFonts w:asciiTheme="minorBidi" w:hAnsiTheme="minorBidi" w:cstheme="minorBidi"/>
                <w:sz w:val="18"/>
                <w:szCs w:val="18"/>
              </w:rPr>
              <w:t>Ähnlichkeit der Situation in Aufgabenstellung und Lösung</w:t>
            </w:r>
          </w:p>
        </w:tc>
        <w:tc>
          <w:tcPr>
            <w:tcW w:w="3140" w:type="dxa"/>
          </w:tcPr>
          <w:p w14:paraId="4D8919C0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z.B. die Schülerin/ der Schüler beschriftet den Aufbau des Auges, der zuvor exakt so im Heft fixiert wurde</w:t>
            </w:r>
          </w:p>
        </w:tc>
      </w:tr>
      <w:tr w:rsidR="00D654C9" w:rsidRPr="0054140A" w14:paraId="5740AADC" w14:textId="77777777" w:rsidTr="001B346B">
        <w:tc>
          <w:tcPr>
            <w:tcW w:w="2185" w:type="dxa"/>
          </w:tcPr>
          <w:p w14:paraId="698DAD24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Selegieren</w:t>
            </w:r>
          </w:p>
        </w:tc>
        <w:tc>
          <w:tcPr>
            <w:tcW w:w="3737" w:type="dxa"/>
          </w:tcPr>
          <w:p w14:paraId="7B382F71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/>
                <w:noProof/>
                <w:lang w:eastAsia="de-DE"/>
              </w:rPr>
              <w:drawing>
                <wp:inline distT="0" distB="0" distL="0" distR="0" wp14:anchorId="36EAB217" wp14:editId="64BEE63C">
                  <wp:extent cx="1399921" cy="1330359"/>
                  <wp:effectExtent l="0" t="0" r="0" b="317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290" cy="134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80FB70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Hohe</w:t>
            </w:r>
            <w:r w:rsidRPr="0054140A">
              <w:rPr>
                <w:rFonts w:asciiTheme="minorBidi" w:hAnsiTheme="minorBidi" w:cstheme="minorBidi"/>
                <w:sz w:val="18"/>
                <w:szCs w:val="18"/>
              </w:rPr>
              <w:t xml:space="preserve"> Ähnlichkeit der Situation in Aufgabenstellung und Lösung</w:t>
            </w:r>
          </w:p>
        </w:tc>
        <w:tc>
          <w:tcPr>
            <w:tcW w:w="3140" w:type="dxa"/>
          </w:tcPr>
          <w:p w14:paraId="303AB50E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 xml:space="preserve">z.B. die Schülerin/ der Schüler benennen nur die Bestandteile, die am Strahlengang beteiligt sind </w:t>
            </w:r>
          </w:p>
        </w:tc>
      </w:tr>
      <w:tr w:rsidR="00D654C9" w:rsidRPr="0054140A" w14:paraId="6824F3E2" w14:textId="77777777" w:rsidTr="001B346B">
        <w:tc>
          <w:tcPr>
            <w:tcW w:w="2185" w:type="dxa"/>
          </w:tcPr>
          <w:p w14:paraId="66E78C6A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 xml:space="preserve">Organisieren </w:t>
            </w:r>
          </w:p>
        </w:tc>
        <w:tc>
          <w:tcPr>
            <w:tcW w:w="3737" w:type="dxa"/>
          </w:tcPr>
          <w:p w14:paraId="5C02BE2F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936963" wp14:editId="543EA96B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3030</wp:posOffset>
                      </wp:positionV>
                      <wp:extent cx="1007926" cy="245582"/>
                      <wp:effectExtent l="0" t="0" r="20955" b="2159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926" cy="2455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98C627" id="Rechteck 7" o:spid="_x0000_s1026" style="position:absolute;margin-left:96.5pt;margin-top:.25pt;width:79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" fillcolor="white [3212]" strokecolor="white [3212]" strokeweight="1pt"/>
                  </w:pict>
                </mc:Fallback>
              </mc:AlternateContent>
            </w:r>
            <w:r w:rsidRPr="0054140A">
              <w:rPr>
                <w:rFonts w:asciiTheme="minorBidi" w:hAnsiTheme="minorBidi"/>
                <w:noProof/>
                <w:lang w:eastAsia="de-DE"/>
              </w:rPr>
              <w:drawing>
                <wp:inline distT="0" distB="0" distL="0" distR="0" wp14:anchorId="02F65F64" wp14:editId="40B639EC">
                  <wp:extent cx="1896727" cy="1294188"/>
                  <wp:effectExtent l="0" t="0" r="889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681" cy="1316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6FEB1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Niedrige</w:t>
            </w:r>
            <w:r w:rsidRPr="0054140A">
              <w:rPr>
                <w:rFonts w:asciiTheme="minorBidi" w:hAnsiTheme="minorBidi" w:cstheme="minorBidi"/>
                <w:sz w:val="18"/>
                <w:szCs w:val="18"/>
              </w:rPr>
              <w:t xml:space="preserve"> Ähnlichkeit der Situation in Aufgabenstellung und Lösung</w:t>
            </w:r>
          </w:p>
        </w:tc>
        <w:tc>
          <w:tcPr>
            <w:tcW w:w="3140" w:type="dxa"/>
          </w:tcPr>
          <w:p w14:paraId="6EA5C289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z.B. der Lehrer beschreibt Fehlfunktionen im Sehvorgang, der Schüler/ die Schülerin leitet daraus mögliche Abweichungen im Aufbau des Auges (z.B. Linse/ Form des Augapfels) ab.</w:t>
            </w:r>
          </w:p>
        </w:tc>
      </w:tr>
      <w:tr w:rsidR="00D654C9" w:rsidRPr="0054140A" w14:paraId="16E89F2F" w14:textId="77777777" w:rsidTr="001B346B">
        <w:tc>
          <w:tcPr>
            <w:tcW w:w="2185" w:type="dxa"/>
          </w:tcPr>
          <w:p w14:paraId="6CAD1784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>Integrieren</w:t>
            </w:r>
          </w:p>
        </w:tc>
        <w:tc>
          <w:tcPr>
            <w:tcW w:w="3737" w:type="dxa"/>
          </w:tcPr>
          <w:p w14:paraId="476C0ACE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D8EE3A" wp14:editId="0237E93C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4935</wp:posOffset>
                      </wp:positionV>
                      <wp:extent cx="1071154" cy="245582"/>
                      <wp:effectExtent l="0" t="0" r="15240" b="2159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154" cy="2455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5FDA60" id="Rechteck 5" o:spid="_x0000_s1026" style="position:absolute;margin-left:94.6pt;margin-top:.4pt;width:84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" fillcolor="white [3212]" strokecolor="white [3212]" strokeweight="1pt"/>
                  </w:pict>
                </mc:Fallback>
              </mc:AlternateContent>
            </w:r>
            <w:r w:rsidRPr="0054140A">
              <w:rPr>
                <w:rFonts w:asciiTheme="minorBidi" w:hAnsiTheme="minorBidi"/>
                <w:noProof/>
                <w:lang w:eastAsia="de-DE"/>
              </w:rPr>
              <w:drawing>
                <wp:inline distT="0" distB="0" distL="0" distR="0" wp14:anchorId="35FB652F" wp14:editId="0865935F">
                  <wp:extent cx="2236361" cy="123835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595" cy="125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75163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Niedrige</w:t>
            </w:r>
            <w:r w:rsidRPr="0054140A">
              <w:rPr>
                <w:rFonts w:asciiTheme="minorBidi" w:hAnsiTheme="minorBidi" w:cstheme="minorBidi"/>
                <w:sz w:val="18"/>
                <w:szCs w:val="18"/>
              </w:rPr>
              <w:t xml:space="preserve"> Ähnlichkeit der Situation in Aufgabenstellung und Lösung</w:t>
            </w:r>
          </w:p>
        </w:tc>
        <w:tc>
          <w:tcPr>
            <w:tcW w:w="3140" w:type="dxa"/>
          </w:tcPr>
          <w:p w14:paraId="432A008E" w14:textId="77777777" w:rsidR="00D654C9" w:rsidRPr="0054140A" w:rsidRDefault="00D654C9" w:rsidP="001B346B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4140A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Voraussetzung: Schülerinnen und Schüler benötigen übertragbares Metaverständnis </w:t>
            </w:r>
          </w:p>
          <w:p w14:paraId="3D642D44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</w:p>
          <w:p w14:paraId="47294FD6" w14:textId="77777777" w:rsidR="00D654C9" w:rsidRPr="0054140A" w:rsidRDefault="00D654C9" w:rsidP="001B346B">
            <w:pPr>
              <w:rPr>
                <w:rFonts w:asciiTheme="minorBidi" w:hAnsiTheme="minorBidi" w:cstheme="minorBidi"/>
              </w:rPr>
            </w:pPr>
            <w:r w:rsidRPr="0054140A">
              <w:rPr>
                <w:rFonts w:asciiTheme="minorBidi" w:hAnsiTheme="minorBidi" w:cstheme="minorBidi"/>
              </w:rPr>
              <w:t xml:space="preserve">z.B. Die Schülerin/ der Schüler überträgt den Regelmechanismus bei der Akkommodation auf die Regelung des Lichteinfalls im Auge </w:t>
            </w:r>
          </w:p>
        </w:tc>
      </w:tr>
    </w:tbl>
    <w:p w14:paraId="262C9B48" w14:textId="50DEA2A7" w:rsidR="001323D4" w:rsidRPr="00487F5A" w:rsidRDefault="00487F5A">
      <w:pPr>
        <w:rPr>
          <w:rFonts w:asciiTheme="minorBidi" w:hAnsiTheme="minorBidi"/>
          <w:color w:val="0070C0"/>
          <w:sz w:val="18"/>
        </w:rPr>
      </w:pPr>
      <w:r>
        <w:rPr>
          <w:rFonts w:asciiTheme="minorBidi" w:hAnsiTheme="minorBidi"/>
          <w:color w:val="0070C0"/>
          <w:sz w:val="18"/>
        </w:rPr>
        <w:br/>
      </w:r>
      <w:r w:rsidR="001323D4" w:rsidRPr="00487F5A">
        <w:rPr>
          <w:rFonts w:asciiTheme="minorBidi" w:hAnsiTheme="minorBidi"/>
          <w:color w:val="0070C0"/>
          <w:sz w:val="18"/>
        </w:rPr>
        <w:t xml:space="preserve">Literatur: </w:t>
      </w:r>
    </w:p>
    <w:p w14:paraId="77761B68" w14:textId="33ED94D7" w:rsidR="001323D4" w:rsidRPr="00487F5A" w:rsidRDefault="001323D4" w:rsidP="001323D4">
      <w:pPr>
        <w:rPr>
          <w:rStyle w:val="markedcontent"/>
          <w:rFonts w:ascii="Arial" w:hAnsi="Arial" w:cs="Arial"/>
          <w:sz w:val="18"/>
        </w:rPr>
      </w:pPr>
      <w:proofErr w:type="spellStart"/>
      <w:r w:rsidRPr="00487F5A">
        <w:rPr>
          <w:rStyle w:val="markedcontent"/>
          <w:rFonts w:ascii="Arial" w:hAnsi="Arial" w:cs="Arial"/>
          <w:sz w:val="18"/>
        </w:rPr>
        <w:t>Kauertz</w:t>
      </w:r>
      <w:proofErr w:type="spellEnd"/>
      <w:r w:rsidRPr="00487F5A">
        <w:rPr>
          <w:rStyle w:val="markedcontent"/>
          <w:rFonts w:ascii="Arial" w:hAnsi="Arial" w:cs="Arial"/>
          <w:sz w:val="18"/>
        </w:rPr>
        <w:t xml:space="preserve">, A., Fischer, H.E., Mayer, J., </w:t>
      </w:r>
      <w:proofErr w:type="spellStart"/>
      <w:r w:rsidRPr="00487F5A">
        <w:rPr>
          <w:rStyle w:val="markedcontent"/>
          <w:rFonts w:ascii="Arial" w:hAnsi="Arial" w:cs="Arial"/>
          <w:sz w:val="18"/>
        </w:rPr>
        <w:t>Sumfleth</w:t>
      </w:r>
      <w:proofErr w:type="spellEnd"/>
      <w:r w:rsidRPr="00487F5A">
        <w:rPr>
          <w:rStyle w:val="markedcontent"/>
          <w:rFonts w:ascii="Arial" w:hAnsi="Arial" w:cs="Arial"/>
          <w:sz w:val="18"/>
        </w:rPr>
        <w:t xml:space="preserve">, E., &amp; </w:t>
      </w:r>
      <w:proofErr w:type="spellStart"/>
      <w:r w:rsidRPr="00487F5A">
        <w:rPr>
          <w:rStyle w:val="markedcontent"/>
          <w:rFonts w:ascii="Arial" w:hAnsi="Arial" w:cs="Arial"/>
          <w:sz w:val="18"/>
        </w:rPr>
        <w:t>Walpusik</w:t>
      </w:r>
      <w:proofErr w:type="spellEnd"/>
      <w:r w:rsidRPr="00487F5A">
        <w:rPr>
          <w:rStyle w:val="markedcontent"/>
          <w:rFonts w:ascii="Arial" w:hAnsi="Arial" w:cs="Arial"/>
          <w:sz w:val="18"/>
        </w:rPr>
        <w:t>, M. (2010). Standardbezogene Kompetenzmodellierung in den</w:t>
      </w:r>
      <w:r w:rsidRPr="00487F5A">
        <w:rPr>
          <w:sz w:val="18"/>
        </w:rPr>
        <w:t xml:space="preserve"> </w:t>
      </w:r>
      <w:r w:rsidRPr="00487F5A">
        <w:rPr>
          <w:rStyle w:val="markedcontent"/>
          <w:rFonts w:ascii="Arial" w:hAnsi="Arial" w:cs="Arial"/>
          <w:sz w:val="18"/>
        </w:rPr>
        <w:t>Naturwissenschaften der Sekundarstufe I. Zeitschrift für Didaktik der Naturwissenschaften, 16, 135–153</w:t>
      </w:r>
    </w:p>
    <w:p w14:paraId="431587A0" w14:textId="77777777" w:rsidR="00487F5A" w:rsidRDefault="00487F5A" w:rsidP="001323D4">
      <w:pPr>
        <w:rPr>
          <w:rStyle w:val="markedcontent"/>
          <w:rFonts w:ascii="Arial" w:hAnsi="Arial" w:cs="Arial"/>
        </w:rPr>
      </w:pPr>
    </w:p>
    <w:p w14:paraId="2C00EF00" w14:textId="3F140218" w:rsidR="00487F5A" w:rsidRPr="001323D4" w:rsidRDefault="00487F5A" w:rsidP="001323D4">
      <w:pPr>
        <w:rPr>
          <w:rFonts w:asciiTheme="minorBidi" w:hAnsiTheme="minorBidi"/>
        </w:rPr>
      </w:pPr>
      <w:r>
        <w:rPr>
          <w:rStyle w:val="markedcontent"/>
          <w:rFonts w:ascii="Arial" w:hAnsi="Arial" w:cs="Arial"/>
        </w:rPr>
        <w:t>Das Dokument „</w:t>
      </w:r>
      <w:r w:rsidRPr="00487F5A">
        <w:rPr>
          <w:rStyle w:val="markedcontent"/>
          <w:rFonts w:ascii="Arial" w:hAnsi="Arial" w:cs="Arial"/>
        </w:rPr>
        <w:t>Aufgabenbeispiele („Sinnesorgan Auge“) mit zunehmender kognitiver Aktivierung</w:t>
      </w:r>
      <w:r>
        <w:rPr>
          <w:rStyle w:val="markedcontent"/>
          <w:rFonts w:ascii="Arial" w:hAnsi="Arial" w:cs="Arial"/>
        </w:rPr>
        <w:t xml:space="preserve">“ ist eine Bearbeitung der PowerPoint Präsentation „Kognitives Niveau. </w:t>
      </w:r>
      <w:proofErr w:type="spellStart"/>
      <w:r>
        <w:rPr>
          <w:rStyle w:val="markedcontent"/>
          <w:rFonts w:ascii="Arial" w:hAnsi="Arial" w:cs="Arial"/>
        </w:rPr>
        <w:t>DigitUS</w:t>
      </w:r>
      <w:proofErr w:type="spellEnd"/>
      <w:r>
        <w:rPr>
          <w:rStyle w:val="markedcontent"/>
          <w:rFonts w:ascii="Arial" w:hAnsi="Arial" w:cs="Arial"/>
        </w:rPr>
        <w:t xml:space="preserve"> Präsentation.“ Erstellt im Rahmen des Projektes </w:t>
      </w:r>
      <w:proofErr w:type="spellStart"/>
      <w:r>
        <w:rPr>
          <w:rStyle w:val="markedcontent"/>
          <w:rFonts w:ascii="Arial" w:hAnsi="Arial" w:cs="Arial"/>
        </w:rPr>
        <w:t>DigitUS</w:t>
      </w:r>
      <w:proofErr w:type="spellEnd"/>
      <w:r>
        <w:rPr>
          <w:rStyle w:val="markedcontent"/>
          <w:rFonts w:ascii="Arial" w:hAnsi="Arial" w:cs="Arial"/>
        </w:rPr>
        <w:t xml:space="preserve"> von </w:t>
      </w:r>
      <w:proofErr w:type="spellStart"/>
      <w:r>
        <w:rPr>
          <w:rStyle w:val="markedcontent"/>
          <w:rFonts w:ascii="Arial" w:hAnsi="Arial" w:cs="Arial"/>
        </w:rPr>
        <w:t>Förtsch</w:t>
      </w:r>
      <w:proofErr w:type="spellEnd"/>
      <w:r>
        <w:rPr>
          <w:rStyle w:val="markedcontent"/>
          <w:rFonts w:ascii="Arial" w:hAnsi="Arial" w:cs="Arial"/>
        </w:rPr>
        <w:t xml:space="preserve">, </w:t>
      </w:r>
      <w:proofErr w:type="spellStart"/>
      <w:r>
        <w:rPr>
          <w:rStyle w:val="markedcontent"/>
          <w:rFonts w:ascii="Arial" w:hAnsi="Arial" w:cs="Arial"/>
        </w:rPr>
        <w:t>Christian</w:t>
      </w:r>
      <w:proofErr w:type="gramStart"/>
      <w:r>
        <w:rPr>
          <w:rStyle w:val="markedcontent"/>
          <w:rFonts w:ascii="Arial" w:hAnsi="Arial" w:cs="Arial"/>
        </w:rPr>
        <w:t>;</w:t>
      </w:r>
      <w:r w:rsidRPr="00487F5A">
        <w:rPr>
          <w:rStyle w:val="markedcontent"/>
          <w:rFonts w:ascii="Arial" w:hAnsi="Arial" w:cs="Arial"/>
        </w:rPr>
        <w:t>Traub</w:t>
      </w:r>
      <w:proofErr w:type="spellEnd"/>
      <w:proofErr w:type="gramEnd"/>
      <w:r w:rsidRPr="00487F5A">
        <w:rPr>
          <w:rStyle w:val="markedcontent"/>
          <w:rFonts w:ascii="Arial" w:hAnsi="Arial" w:cs="Arial"/>
        </w:rPr>
        <w:t xml:space="preserve">, Dagmar; Aufleger, Monika; Rutkowski, Annemarie; </w:t>
      </w:r>
      <w:proofErr w:type="spellStart"/>
      <w:r w:rsidRPr="00487F5A">
        <w:rPr>
          <w:rStyle w:val="markedcontent"/>
          <w:rFonts w:ascii="Arial" w:hAnsi="Arial" w:cs="Arial"/>
        </w:rPr>
        <w:t>Spangler</w:t>
      </w:r>
      <w:proofErr w:type="spellEnd"/>
      <w:r w:rsidRPr="00487F5A">
        <w:rPr>
          <w:rStyle w:val="markedcontent"/>
          <w:rFonts w:ascii="Arial" w:hAnsi="Arial" w:cs="Arial"/>
        </w:rPr>
        <w:t xml:space="preserve">, Michael </w:t>
      </w:r>
      <w:r>
        <w:rPr>
          <w:rStyle w:val="markedcontent"/>
          <w:rFonts w:ascii="Arial" w:hAnsi="Arial" w:cs="Arial"/>
        </w:rPr>
        <w:t xml:space="preserve">und Neuhaus, Birgit, genutzt unter </w:t>
      </w:r>
      <w:hyperlink r:id="rId9" w:history="1">
        <w:r w:rsidRPr="00DB060A">
          <w:rPr>
            <w:rStyle w:val="Hyperlink"/>
            <w:rFonts w:ascii="Arial" w:hAnsi="Arial" w:cs="Arial"/>
          </w:rPr>
          <w:t>CC-BY-SA 4.0</w:t>
        </w:r>
      </w:hyperlink>
      <w:r>
        <w:rPr>
          <w:rStyle w:val="markedcontent"/>
          <w:rFonts w:ascii="Arial" w:hAnsi="Arial" w:cs="Arial"/>
        </w:rPr>
        <w:t xml:space="preserve">. </w:t>
      </w:r>
      <w:r>
        <w:rPr>
          <w:rStyle w:val="markedcontent"/>
          <w:rFonts w:ascii="Arial" w:hAnsi="Arial" w:cs="Arial"/>
        </w:rPr>
        <w:t>„</w:t>
      </w:r>
      <w:r w:rsidRPr="00487F5A">
        <w:rPr>
          <w:rStyle w:val="markedcontent"/>
          <w:rFonts w:ascii="Arial" w:hAnsi="Arial" w:cs="Arial"/>
        </w:rPr>
        <w:t>Aufgabenbeispiele („Sinnesorgan Auge“) mit zunehmender kognitiver Aktivierung</w:t>
      </w:r>
      <w:r>
        <w:rPr>
          <w:rStyle w:val="markedcontent"/>
          <w:rFonts w:ascii="Arial" w:hAnsi="Arial" w:cs="Arial"/>
        </w:rPr>
        <w:t xml:space="preserve"> steht ebenfalls unter </w:t>
      </w:r>
      <w:hyperlink r:id="rId10" w:history="1">
        <w:r w:rsidRPr="00DB060A">
          <w:rPr>
            <w:rStyle w:val="Hyperlink"/>
            <w:rFonts w:ascii="Arial" w:hAnsi="Arial" w:cs="Arial"/>
          </w:rPr>
          <w:t>CC-BY-SA 4.0,</w:t>
        </w:r>
      </w:hyperlink>
      <w:r>
        <w:rPr>
          <w:rStyle w:val="markedcontent"/>
          <w:rFonts w:ascii="Arial" w:hAnsi="Arial" w:cs="Arial"/>
        </w:rPr>
        <w:t xml:space="preserve"> Birgit Brandstetter. </w:t>
      </w:r>
      <w:bookmarkStart w:id="0" w:name="_GoBack"/>
      <w:bookmarkEnd w:id="0"/>
    </w:p>
    <w:sectPr w:rsidR="00487F5A" w:rsidRPr="001323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C9"/>
    <w:rsid w:val="001323D4"/>
    <w:rsid w:val="00316445"/>
    <w:rsid w:val="00487F5A"/>
    <w:rsid w:val="00552672"/>
    <w:rsid w:val="009568FC"/>
    <w:rsid w:val="00977597"/>
    <w:rsid w:val="00D654C9"/>
    <w:rsid w:val="00DB060A"/>
    <w:rsid w:val="00FB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2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4C9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654C9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D654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F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3F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3F41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F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F41"/>
    <w:rPr>
      <w:b/>
      <w:bCs/>
      <w:kern w:val="0"/>
      <w:sz w:val="20"/>
      <w:szCs w:val="2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F41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markedcontent">
    <w:name w:val="markedcontent"/>
    <w:basedOn w:val="Absatz-Standardschriftart"/>
    <w:rsid w:val="001323D4"/>
  </w:style>
  <w:style w:type="character" w:styleId="Hyperlink">
    <w:name w:val="Hyperlink"/>
    <w:basedOn w:val="Absatz-Standardschriftart"/>
    <w:uiPriority w:val="99"/>
    <w:unhideWhenUsed/>
    <w:rsid w:val="00DB06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4C9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654C9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D654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F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3F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3F41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F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F41"/>
    <w:rPr>
      <w:b/>
      <w:bCs/>
      <w:kern w:val="0"/>
      <w:sz w:val="20"/>
      <w:szCs w:val="2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F41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markedcontent">
    <w:name w:val="markedcontent"/>
    <w:basedOn w:val="Absatz-Standardschriftart"/>
    <w:rsid w:val="001323D4"/>
  </w:style>
  <w:style w:type="character" w:styleId="Hyperlink">
    <w:name w:val="Hyperlink"/>
    <w:basedOn w:val="Absatz-Standardschriftart"/>
    <w:uiPriority w:val="99"/>
    <w:unhideWhenUsed/>
    <w:rsid w:val="00DB0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reativecommons.org/licenses/by-sa/4.0/dee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Brandstetter</dc:creator>
  <cp:lastModifiedBy>Andrea Ludwig</cp:lastModifiedBy>
  <cp:revision>2</cp:revision>
  <dcterms:created xsi:type="dcterms:W3CDTF">2023-11-02T12:12:00Z</dcterms:created>
  <dcterms:modified xsi:type="dcterms:W3CDTF">2023-11-02T12:12:00Z</dcterms:modified>
</cp:coreProperties>
</file>