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2CDB" w14:textId="295D7C9B" w:rsidR="009568FC" w:rsidRPr="009E3945" w:rsidRDefault="00D710C6" w:rsidP="00D930D4">
      <w:pPr>
        <w:spacing w:line="276" w:lineRule="auto"/>
        <w:rPr>
          <w:rFonts w:asciiTheme="minorBidi" w:hAnsiTheme="minorBidi"/>
          <w:b/>
          <w:bCs/>
        </w:rPr>
      </w:pPr>
      <w:r w:rsidRPr="009E3945">
        <w:rPr>
          <w:rFonts w:asciiTheme="minorBidi" w:hAnsiTheme="minorBidi"/>
          <w:b/>
          <w:bCs/>
        </w:rPr>
        <w:t xml:space="preserve">Die Basiskonzepte des bayerischen Lehrplans (Biologie) </w:t>
      </w: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86"/>
      </w:tblGrid>
      <w:tr w:rsidR="00D710C6" w:rsidRPr="00D930D4" w14:paraId="1F979402" w14:textId="1494DC67" w:rsidTr="009E3945">
        <w:tc>
          <w:tcPr>
            <w:tcW w:w="2122" w:type="dxa"/>
            <w:shd w:val="clear" w:color="auto" w:fill="AEAAAA" w:themeFill="background2" w:themeFillShade="BF"/>
          </w:tcPr>
          <w:p w14:paraId="1E43471D" w14:textId="2D810AB1" w:rsidR="00D710C6" w:rsidRPr="009E3945" w:rsidRDefault="00D710C6" w:rsidP="00D930D4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9E3945">
              <w:rPr>
                <w:rFonts w:asciiTheme="minorBidi" w:hAnsiTheme="minorBidi"/>
                <w:i/>
                <w:iCs/>
              </w:rPr>
              <w:t xml:space="preserve">Basiskonzept 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160BE9AC" w14:textId="15EB1227" w:rsidR="00D710C6" w:rsidRPr="009E3945" w:rsidRDefault="00D710C6" w:rsidP="00D930D4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9E3945">
              <w:rPr>
                <w:rFonts w:asciiTheme="minorBidi" w:hAnsiTheme="minorBidi"/>
                <w:i/>
                <w:iCs/>
              </w:rPr>
              <w:t>Beschreibung</w:t>
            </w:r>
          </w:p>
        </w:tc>
        <w:tc>
          <w:tcPr>
            <w:tcW w:w="5386" w:type="dxa"/>
            <w:shd w:val="clear" w:color="auto" w:fill="AEAAAA" w:themeFill="background2" w:themeFillShade="BF"/>
          </w:tcPr>
          <w:p w14:paraId="62101F8F" w14:textId="12D6FC32" w:rsidR="00D710C6" w:rsidRPr="009E3945" w:rsidRDefault="00D710C6" w:rsidP="00D930D4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9E3945">
              <w:rPr>
                <w:rFonts w:asciiTheme="minorBidi" w:hAnsiTheme="minorBidi"/>
                <w:i/>
                <w:iCs/>
              </w:rPr>
              <w:t>Beispiele</w:t>
            </w:r>
          </w:p>
        </w:tc>
      </w:tr>
      <w:tr w:rsidR="00D710C6" w:rsidRPr="00D930D4" w14:paraId="416B5E13" w14:textId="554752C9" w:rsidTr="009E3945">
        <w:tc>
          <w:tcPr>
            <w:tcW w:w="2122" w:type="dxa"/>
            <w:shd w:val="clear" w:color="auto" w:fill="E7E6E6" w:themeFill="background2"/>
          </w:tcPr>
          <w:p w14:paraId="1515C927" w14:textId="5B3ADF4B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 xml:space="preserve">Struktur und Funktion </w:t>
            </w:r>
          </w:p>
        </w:tc>
        <w:tc>
          <w:tcPr>
            <w:tcW w:w="3260" w:type="dxa"/>
          </w:tcPr>
          <w:p w14:paraId="7FD28806" w14:textId="2177C593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Lebewesen und Lebensvorgänge sind an Strukturen gebunden. Es gibt einen Zusammenhang von Struktur und Funktion </w:t>
            </w:r>
          </w:p>
        </w:tc>
        <w:tc>
          <w:tcPr>
            <w:tcW w:w="5386" w:type="dxa"/>
          </w:tcPr>
          <w:p w14:paraId="4A773F66" w14:textId="5A52EE43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Vielfalt der Organe zur Nahrungsaufnahme (Bsp. Vogelschnäbel)</w:t>
            </w:r>
          </w:p>
          <w:p w14:paraId="038759C0" w14:textId="0224FDD3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Schlüssel-Schloss-Prinzip (Bsp. Nerven-/ Hormonsystem)</w:t>
            </w:r>
          </w:p>
          <w:p w14:paraId="77344DB9" w14:textId="247F6026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Prinzip der Oberflächenvergrößerung </w:t>
            </w:r>
          </w:p>
          <w:p w14:paraId="5FEE2A31" w14:textId="41E33766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Gegenspielerprinzip (Bsp. Muskulatur, Hormonsystem)</w:t>
            </w:r>
          </w:p>
          <w:p w14:paraId="4AB94A7C" w14:textId="003D4B1D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D710C6" w:rsidRPr="00D930D4" w14:paraId="1AF0BDF8" w14:textId="24CA279B" w:rsidTr="009E3945">
        <w:tc>
          <w:tcPr>
            <w:tcW w:w="2122" w:type="dxa"/>
            <w:shd w:val="clear" w:color="auto" w:fill="E7E6E6" w:themeFill="background2"/>
          </w:tcPr>
          <w:p w14:paraId="4F04CF60" w14:textId="4E60A290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 xml:space="preserve">Entwicklung </w:t>
            </w:r>
          </w:p>
        </w:tc>
        <w:tc>
          <w:tcPr>
            <w:tcW w:w="3260" w:type="dxa"/>
          </w:tcPr>
          <w:p w14:paraId="069472DD" w14:textId="0414DB19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Lebendige Systeme verändern sich mit der Zeit. Man unterscheidet die Individualentwicklung und die stammesgeschichtliche Entwicklung  </w:t>
            </w:r>
          </w:p>
        </w:tc>
        <w:tc>
          <w:tcPr>
            <w:tcW w:w="5386" w:type="dxa"/>
          </w:tcPr>
          <w:p w14:paraId="23D950AD" w14:textId="183EE2F5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Ontogenetisch/phylogenetisch  </w:t>
            </w:r>
          </w:p>
          <w:p w14:paraId="08074BB9" w14:textId="4831E9AF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Innerorganismische Steuerung zur bestmöglichen Angepasstheit an versch. Lebensphasen (Embryonalentwicklung, Pubertät, u.a.)</w:t>
            </w:r>
          </w:p>
        </w:tc>
      </w:tr>
      <w:tr w:rsidR="00D710C6" w:rsidRPr="00D930D4" w14:paraId="7A91279A" w14:textId="08BE339D" w:rsidTr="009E3945">
        <w:tc>
          <w:tcPr>
            <w:tcW w:w="2122" w:type="dxa"/>
            <w:shd w:val="clear" w:color="auto" w:fill="E7E6E6" w:themeFill="background2"/>
          </w:tcPr>
          <w:p w14:paraId="20B48AB1" w14:textId="63380636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Variabilität und Angepasstheit</w:t>
            </w:r>
          </w:p>
        </w:tc>
        <w:tc>
          <w:tcPr>
            <w:tcW w:w="3260" w:type="dxa"/>
          </w:tcPr>
          <w:p w14:paraId="49397999" w14:textId="6E39C5C4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sind bezüglich Bau und Funktion an ihre Umwelt angepasst. Angepasstheit wird durch Variabilität ermöglicht.</w:t>
            </w:r>
          </w:p>
        </w:tc>
        <w:tc>
          <w:tcPr>
            <w:tcW w:w="5386" w:type="dxa"/>
          </w:tcPr>
          <w:p w14:paraId="73BDC981" w14:textId="36A68BA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Polymorphismus (eine Art, genetisch bedingt</w:t>
            </w:r>
            <w:r w:rsidR="00D930D4" w:rsidRPr="00D930D4">
              <w:rPr>
                <w:rFonts w:asciiTheme="minorBidi" w:hAnsiTheme="minorBidi"/>
              </w:rPr>
              <w:t>)</w:t>
            </w:r>
          </w:p>
          <w:p w14:paraId="3CFABF7E" w14:textId="76992130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Analogie</w:t>
            </w:r>
            <w:r w:rsidR="00D930D4" w:rsidRPr="00D930D4">
              <w:rPr>
                <w:rFonts w:asciiTheme="minorBidi" w:hAnsiTheme="minorBidi"/>
              </w:rPr>
              <w:t xml:space="preserve"> (Bsp. Insekten-/ Vogel-/ Fledermausflügel)</w:t>
            </w:r>
          </w:p>
        </w:tc>
      </w:tr>
      <w:tr w:rsidR="00D710C6" w:rsidRPr="00D930D4" w14:paraId="66313FEF" w14:textId="30A5B073" w:rsidTr="009E3945">
        <w:tc>
          <w:tcPr>
            <w:tcW w:w="2122" w:type="dxa"/>
            <w:shd w:val="clear" w:color="auto" w:fill="E7E6E6" w:themeFill="background2"/>
          </w:tcPr>
          <w:p w14:paraId="2DA92F30" w14:textId="0BBB28EE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Steuerung und Regelung</w:t>
            </w:r>
          </w:p>
        </w:tc>
        <w:tc>
          <w:tcPr>
            <w:tcW w:w="3260" w:type="dxa"/>
          </w:tcPr>
          <w:p w14:paraId="4E84222C" w14:textId="7C3304CA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Lebende Systeme halten viele Zustandsgrößen in Grenzen; sie reagieren dabei auf die Änderung innerer und äußerer Faktoren.</w:t>
            </w:r>
          </w:p>
        </w:tc>
        <w:tc>
          <w:tcPr>
            <w:tcW w:w="5386" w:type="dxa"/>
          </w:tcPr>
          <w:p w14:paraId="4F9068DF" w14:textId="6A6F9B51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Positive und negative Rückkopplung </w:t>
            </w:r>
            <w:r w:rsidR="00D930D4" w:rsidRPr="00D930D4">
              <w:rPr>
                <w:rFonts w:asciiTheme="minorBidi" w:hAnsiTheme="minorBidi"/>
              </w:rPr>
              <w:t>(Bsp. biologisches Gleichgewicht zwischen Specht und Borkenkäfer)</w:t>
            </w:r>
          </w:p>
          <w:p w14:paraId="3E1FD4BE" w14:textId="7A5E4E72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Prinzip der Homöostase</w:t>
            </w:r>
            <w:r w:rsidR="00D930D4" w:rsidRPr="00D930D4">
              <w:rPr>
                <w:rFonts w:asciiTheme="minorBidi" w:hAnsiTheme="minorBidi"/>
              </w:rPr>
              <w:t xml:space="preserve"> (Bsp. Regulation Blutzuckerspiegel, Ausprägung verschiedener Erbinformationen zu unterschiedlichen Zeitpunkten)</w:t>
            </w:r>
          </w:p>
        </w:tc>
      </w:tr>
      <w:tr w:rsidR="00D710C6" w:rsidRPr="00D930D4" w14:paraId="7E6DB535" w14:textId="3EB36D0A" w:rsidTr="009E3945">
        <w:tc>
          <w:tcPr>
            <w:tcW w:w="2122" w:type="dxa"/>
            <w:shd w:val="clear" w:color="auto" w:fill="E7E6E6" w:themeFill="background2"/>
          </w:tcPr>
          <w:p w14:paraId="0A6E9589" w14:textId="399DF5C8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 xml:space="preserve">Information und Kommunikation </w:t>
            </w:r>
          </w:p>
        </w:tc>
        <w:tc>
          <w:tcPr>
            <w:tcW w:w="3260" w:type="dxa"/>
          </w:tcPr>
          <w:p w14:paraId="4F6B56DA" w14:textId="4EE100BB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Lebewesen nehmen Informationen auf, speichern und verarbeiten sie und reagieren auf sie. </w:t>
            </w:r>
          </w:p>
        </w:tc>
        <w:tc>
          <w:tcPr>
            <w:tcW w:w="5386" w:type="dxa"/>
          </w:tcPr>
          <w:p w14:paraId="7C6DBCF6" w14:textId="7777777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Signaltransduktion </w:t>
            </w:r>
          </w:p>
          <w:p w14:paraId="504CC0CD" w14:textId="7777777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De-/Codierung</w:t>
            </w:r>
          </w:p>
          <w:p w14:paraId="33D7FD8D" w14:textId="274C534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Verbale/stoffliche/symbolische</w:t>
            </w:r>
            <w:r w:rsidR="00D930D4" w:rsidRPr="00D930D4">
              <w:rPr>
                <w:rFonts w:asciiTheme="minorBidi" w:hAnsiTheme="minorBidi"/>
              </w:rPr>
              <w:t>/ molekular</w:t>
            </w:r>
            <w:r w:rsidRPr="00D930D4">
              <w:rPr>
                <w:rFonts w:asciiTheme="minorBidi" w:hAnsiTheme="minorBidi"/>
              </w:rPr>
              <w:t xml:space="preserve"> Verständigung</w:t>
            </w:r>
            <w:r w:rsidR="00D930D4" w:rsidRPr="00D930D4">
              <w:rPr>
                <w:rFonts w:asciiTheme="minorBidi" w:hAnsiTheme="minorBidi"/>
              </w:rPr>
              <w:t xml:space="preserve"> (Bsp. Sprache und Laute/ Pheromone bei der Fortpflanzung/ Färbung des Gefieders bei Vögeln/ Hormonsysteme)</w:t>
            </w:r>
          </w:p>
          <w:p w14:paraId="63EFB7DE" w14:textId="659496B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Sender-Empfänger-Modell</w:t>
            </w:r>
            <w:r w:rsidR="00D930D4" w:rsidRPr="00D930D4">
              <w:rPr>
                <w:rFonts w:asciiTheme="minorBidi" w:hAnsiTheme="minorBidi"/>
              </w:rPr>
              <w:t xml:space="preserve"> </w:t>
            </w:r>
          </w:p>
        </w:tc>
      </w:tr>
      <w:tr w:rsidR="00D710C6" w:rsidRPr="00D930D4" w14:paraId="2B272F47" w14:textId="162F9A45" w:rsidTr="009E3945">
        <w:tc>
          <w:tcPr>
            <w:tcW w:w="2122" w:type="dxa"/>
            <w:shd w:val="clear" w:color="auto" w:fill="E7E6E6" w:themeFill="background2"/>
          </w:tcPr>
          <w:p w14:paraId="51CDB23B" w14:textId="338F3728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Stoff- und Energieumwandlung</w:t>
            </w:r>
          </w:p>
        </w:tc>
        <w:tc>
          <w:tcPr>
            <w:tcW w:w="3260" w:type="dxa"/>
          </w:tcPr>
          <w:p w14:paraId="5B3B6490" w14:textId="5571C220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An allen Lebensvorgängen sind Stoff- und Energieumwandlung beteiligt. Biologische Systeme stehen als offene Systeme im ständigen Austausch mit der Umwelt.</w:t>
            </w:r>
          </w:p>
        </w:tc>
        <w:tc>
          <w:tcPr>
            <w:tcW w:w="5386" w:type="dxa"/>
          </w:tcPr>
          <w:p w14:paraId="0FEC763A" w14:textId="77777777" w:rsidR="00D710C6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Assimilation und Dissimilation </w:t>
            </w:r>
          </w:p>
          <w:p w14:paraId="7B67C284" w14:textId="4A63CFB2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Unterschiedliche Strategien bei der Energiespeicherung und -freisetzung</w:t>
            </w:r>
          </w:p>
          <w:p w14:paraId="2F4F72AC" w14:textId="77777777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Thermokonforme und thermoregulatorische Arten </w:t>
            </w:r>
          </w:p>
          <w:p w14:paraId="0A863B68" w14:textId="77777777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Energetische Kopplung </w:t>
            </w:r>
          </w:p>
          <w:p w14:paraId="108DCE11" w14:textId="1C4DADDC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Stoffkreislauf </w:t>
            </w:r>
          </w:p>
        </w:tc>
      </w:tr>
      <w:tr w:rsidR="00D710C6" w:rsidRPr="00D930D4" w14:paraId="2032E53D" w14:textId="552DA53C" w:rsidTr="009E3945">
        <w:tc>
          <w:tcPr>
            <w:tcW w:w="2122" w:type="dxa"/>
            <w:shd w:val="clear" w:color="auto" w:fill="E7E6E6" w:themeFill="background2"/>
          </w:tcPr>
          <w:p w14:paraId="194D8D1D" w14:textId="79C272E3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Reproduktion</w:t>
            </w:r>
          </w:p>
        </w:tc>
        <w:tc>
          <w:tcPr>
            <w:tcW w:w="3260" w:type="dxa"/>
          </w:tcPr>
          <w:p w14:paraId="4F2B4E9A" w14:textId="79E2AD74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sind fähig zur Reproduktion, dabei geben sie Erbinformation weiter.</w:t>
            </w:r>
          </w:p>
        </w:tc>
        <w:tc>
          <w:tcPr>
            <w:tcW w:w="5386" w:type="dxa"/>
          </w:tcPr>
          <w:p w14:paraId="5305F760" w14:textId="77777777" w:rsidR="00D710C6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Ungeschlechtliche Fortpflanzung </w:t>
            </w:r>
          </w:p>
          <w:p w14:paraId="39B083C0" w14:textId="77777777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Fortpflanzungsstrategien </w:t>
            </w:r>
          </w:p>
          <w:p w14:paraId="4B734535" w14:textId="7E781463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Sexualität</w:t>
            </w:r>
          </w:p>
        </w:tc>
      </w:tr>
      <w:tr w:rsidR="00D930D4" w:rsidRPr="00D930D4" w14:paraId="2B2E79B2" w14:textId="77777777" w:rsidTr="009E3945">
        <w:tc>
          <w:tcPr>
            <w:tcW w:w="2122" w:type="dxa"/>
            <w:shd w:val="clear" w:color="auto" w:fill="E7E6E6" w:themeFill="background2"/>
          </w:tcPr>
          <w:p w14:paraId="012E862A" w14:textId="4F47D506" w:rsidR="00D930D4" w:rsidRPr="00D930D4" w:rsidRDefault="00D930D4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Organisationsebenen</w:t>
            </w:r>
          </w:p>
        </w:tc>
        <w:tc>
          <w:tcPr>
            <w:tcW w:w="3260" w:type="dxa"/>
          </w:tcPr>
          <w:p w14:paraId="70DD9714" w14:textId="3BC025AA" w:rsidR="00D930D4" w:rsidRPr="00D930D4" w:rsidRDefault="00D930D4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lassen sich auf verschiedenen Organisationsebenen erklären</w:t>
            </w:r>
          </w:p>
        </w:tc>
        <w:tc>
          <w:tcPr>
            <w:tcW w:w="5386" w:type="dxa"/>
          </w:tcPr>
          <w:p w14:paraId="7FF9BF57" w14:textId="0A37A334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Baukastenprinzip</w:t>
            </w:r>
            <w:r>
              <w:rPr>
                <w:rFonts w:asciiTheme="minorBidi" w:hAnsiTheme="minorBidi"/>
              </w:rPr>
              <w:t xml:space="preserve"> (Bsp. Zellorganell – Zelle – Gewebe – Organ – Organsystem – Organismus) </w:t>
            </w:r>
          </w:p>
        </w:tc>
      </w:tr>
    </w:tbl>
    <w:p w14:paraId="372305A7" w14:textId="3E85E4D5" w:rsidR="00D710C6" w:rsidRDefault="00D710C6" w:rsidP="00D930D4">
      <w:pPr>
        <w:spacing w:line="276" w:lineRule="auto"/>
        <w:rPr>
          <w:rFonts w:asciiTheme="minorBidi" w:hAnsiTheme="minorBidi"/>
        </w:rPr>
      </w:pPr>
    </w:p>
    <w:p w14:paraId="401DBEAC" w14:textId="77777777" w:rsidR="009B72B5" w:rsidRDefault="009B72B5" w:rsidP="009B72B5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Literatur</w:t>
      </w:r>
    </w:p>
    <w:p w14:paraId="4CE4ADC1" w14:textId="46064094" w:rsidR="009E3945" w:rsidRPr="00D930D4" w:rsidRDefault="009B72B5" w:rsidP="009B72B5">
      <w:pPr>
        <w:rPr>
          <w:rFonts w:asciiTheme="minorBidi" w:hAnsiTheme="minorBidi"/>
        </w:rPr>
      </w:pPr>
      <w:r>
        <w:rPr>
          <w:rStyle w:val="markedcontent"/>
          <w:rFonts w:ascii="Arial" w:hAnsi="Arial" w:cs="Arial"/>
        </w:rPr>
        <w:t>KMK (2020). Bildungsstandards im Fach Biologie für die Allgemeine Hochschulreife.</w:t>
      </w:r>
      <w:r>
        <w:br/>
      </w:r>
      <w:r>
        <w:rPr>
          <w:rStyle w:val="markedcontent"/>
          <w:rFonts w:ascii="Arial" w:hAnsi="Arial" w:cs="Arial"/>
        </w:rPr>
        <w:t>https://www.kmk.org/fileadmin/Dateien/veroeffentlichungen_beschluesse/2020/2020_06_18-</w:t>
      </w:r>
      <w:r>
        <w:br/>
      </w:r>
      <w:r>
        <w:rPr>
          <w:rStyle w:val="markedcontent"/>
          <w:rFonts w:ascii="Arial" w:hAnsi="Arial" w:cs="Arial"/>
        </w:rPr>
        <w:t>BildungsstandardsAHR_Biologie.pdf (Aufgerufen am 11.03.2021)</w:t>
      </w:r>
    </w:p>
    <w:sectPr w:rsidR="009E3945" w:rsidRPr="00D930D4" w:rsidSect="00D93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4B3D"/>
    <w:multiLevelType w:val="hybridMultilevel"/>
    <w:tmpl w:val="4CF6CE06"/>
    <w:lvl w:ilvl="0" w:tplc="B8425A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1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C6"/>
    <w:rsid w:val="00552672"/>
    <w:rsid w:val="009568FC"/>
    <w:rsid w:val="009B72B5"/>
    <w:rsid w:val="009E3945"/>
    <w:rsid w:val="00D710C6"/>
    <w:rsid w:val="00D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EE22"/>
  <w15:chartTrackingRefBased/>
  <w15:docId w15:val="{C6C0C0BA-8D0A-4580-B237-870335E8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0C6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9B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Brandstetter</dc:creator>
  <cp:keywords/>
  <dc:description/>
  <cp:lastModifiedBy>Birgit Brandstetter</cp:lastModifiedBy>
  <cp:revision>2</cp:revision>
  <dcterms:created xsi:type="dcterms:W3CDTF">2023-03-19T09:52:00Z</dcterms:created>
  <dcterms:modified xsi:type="dcterms:W3CDTF">2023-04-25T13:29:00Z</dcterms:modified>
</cp:coreProperties>
</file>